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1083F">
      <w:pPr>
        <w:pStyle w:val="6"/>
        <w:spacing w:before="0" w:after="156" w:afterLines="50"/>
        <w:rPr>
          <w:rFonts w:ascii="Times New Roman" w:hAnsi="Times New Roman" w:eastAsia="方正小标宋简体"/>
          <w:b w:val="0"/>
          <w:bCs w:val="0"/>
          <w:sz w:val="44"/>
          <w:szCs w:val="44"/>
        </w:rPr>
      </w:pPr>
      <w:r>
        <w:rPr>
          <w:rFonts w:hint="eastAsia" w:ascii="Times New Roman" w:hAnsi="方正小标宋简体" w:eastAsia="方正小标宋简体"/>
          <w:b w:val="0"/>
          <w:sz w:val="44"/>
          <w:szCs w:val="44"/>
        </w:rPr>
        <w:t>草业与草原学院“阖律”学习</w:t>
      </w:r>
      <w:r>
        <w:rPr>
          <w:rFonts w:ascii="Times New Roman" w:hAnsi="方正小标宋简体" w:eastAsia="方正小标宋简体"/>
          <w:b w:val="0"/>
          <w:sz w:val="44"/>
          <w:szCs w:val="44"/>
        </w:rPr>
        <w:t>奖励</w:t>
      </w:r>
      <w:r>
        <w:rPr>
          <w:rFonts w:hint="eastAsia" w:ascii="Times New Roman" w:hAnsi="方正小标宋简体" w:eastAsia="方正小标宋简体"/>
          <w:b w:val="0"/>
          <w:sz w:val="44"/>
          <w:szCs w:val="44"/>
        </w:rPr>
        <w:t>办法（试行）</w:t>
      </w:r>
    </w:p>
    <w:p w14:paraId="42A8E6BB">
      <w:pPr>
        <w:widowControl/>
        <w:shd w:val="clear" w:color="auto" w:fill="FFFFFF"/>
        <w:spacing w:line="360" w:lineRule="auto"/>
        <w:jc w:val="center"/>
        <w:rPr>
          <w:rFonts w:ascii="仿宋" w:hAnsi="仿宋" w:eastAsia="仿宋" w:cs="Times New Roman"/>
          <w:b/>
          <w:spacing w:val="14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spacing w:val="14"/>
          <w:kern w:val="0"/>
          <w:sz w:val="32"/>
          <w:szCs w:val="32"/>
        </w:rPr>
        <w:t>第一章 总则</w:t>
      </w:r>
    </w:p>
    <w:p w14:paraId="7076CAAA">
      <w:pPr>
        <w:ind w:firstLine="643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第一条</w:t>
      </w:r>
      <w:r>
        <w:rPr>
          <w:rFonts w:hint="eastAsia" w:ascii="仿宋" w:hAnsi="仿宋" w:eastAsia="仿宋" w:cs="Times New Roman"/>
          <w:sz w:val="32"/>
          <w:szCs w:val="32"/>
        </w:rPr>
        <w:t xml:space="preserve"> 为激发我院学生学习积极性，提升学生学习成效，学院决定对学习优秀、进步、勤奋的学生进行奖励。</w:t>
      </w:r>
    </w:p>
    <w:p w14:paraId="15ADE695">
      <w:pPr>
        <w:ind w:firstLine="643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 xml:space="preserve">第二条 </w:t>
      </w:r>
      <w:r>
        <w:rPr>
          <w:rFonts w:hint="eastAsia" w:ascii="仿宋" w:hAnsi="仿宋" w:eastAsia="仿宋" w:cs="Times New Roman"/>
          <w:sz w:val="32"/>
          <w:szCs w:val="32"/>
        </w:rPr>
        <w:t>本暂行办法奖励范围为我院全日制在籍学生。</w:t>
      </w:r>
    </w:p>
    <w:p w14:paraId="12108D60">
      <w:pPr>
        <w:widowControl/>
        <w:shd w:val="clear" w:color="auto" w:fill="FFFFFF"/>
        <w:spacing w:line="360" w:lineRule="auto"/>
        <w:jc w:val="center"/>
        <w:rPr>
          <w:rFonts w:ascii="仿宋" w:hAnsi="仿宋" w:eastAsia="仿宋" w:cs="Times New Roman"/>
          <w:b/>
          <w:spacing w:val="14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spacing w:val="14"/>
          <w:kern w:val="0"/>
          <w:sz w:val="32"/>
          <w:szCs w:val="32"/>
        </w:rPr>
        <w:t>第二章 奖励内容</w:t>
      </w:r>
    </w:p>
    <w:p w14:paraId="18CB63F0">
      <w:pPr>
        <w:ind w:firstLine="643" w:firstLineChars="200"/>
        <w:rPr>
          <w:rFonts w:hint="eastAsia"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 xml:space="preserve">第三条 </w:t>
      </w:r>
      <w:r>
        <w:rPr>
          <w:rFonts w:hint="eastAsia" w:ascii="仿宋" w:hAnsi="仿宋" w:eastAsia="仿宋" w:cs="Times New Roman"/>
          <w:sz w:val="32"/>
          <w:szCs w:val="32"/>
        </w:rPr>
        <w:t>奖励</w:t>
      </w:r>
      <w:r>
        <w:rPr>
          <w:rFonts w:hint="eastAsia" w:ascii="仿宋" w:hAnsi="仿宋" w:eastAsia="仿宋" w:cs="Times New Roman"/>
          <w:bCs/>
          <w:sz w:val="32"/>
          <w:szCs w:val="32"/>
        </w:rPr>
        <w:t>内容：本科生学分成绩、英语单项成绩、学习成绩提升以及学习勤奋行为。其中英语单项成绩：本科生为英语六级、雅思、托福考试成绩；研究生为雅思、托福考试成绩。</w:t>
      </w:r>
    </w:p>
    <w:p w14:paraId="32139A21">
      <w:pPr>
        <w:widowControl/>
        <w:shd w:val="clear" w:color="auto" w:fill="FFFFFF"/>
        <w:spacing w:line="360" w:lineRule="auto"/>
        <w:jc w:val="center"/>
        <w:rPr>
          <w:rFonts w:ascii="仿宋" w:hAnsi="仿宋" w:eastAsia="仿宋" w:cs="Times New Roman"/>
          <w:b/>
          <w:spacing w:val="14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spacing w:val="14"/>
          <w:kern w:val="0"/>
          <w:sz w:val="32"/>
          <w:szCs w:val="32"/>
        </w:rPr>
        <w:t>第三章 奖励标准</w:t>
      </w:r>
    </w:p>
    <w:p w14:paraId="3138CD1E">
      <w:pPr>
        <w:ind w:firstLine="643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 xml:space="preserve">第四条 </w:t>
      </w:r>
      <w:r>
        <w:rPr>
          <w:rFonts w:hint="eastAsia" w:ascii="仿宋" w:hAnsi="仿宋" w:eastAsia="仿宋" w:cs="Times New Roman"/>
          <w:sz w:val="32"/>
          <w:szCs w:val="32"/>
        </w:rPr>
        <w:t>学习优秀奖励标准：上一学年学分成绩位列专业前5%的学生授予学习优秀奖，奖励1000元/人</w:t>
      </w:r>
    </w:p>
    <w:p w14:paraId="4CC5CE24">
      <w:pPr>
        <w:ind w:firstLine="643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 xml:space="preserve">第五条 </w:t>
      </w:r>
      <w:r>
        <w:rPr>
          <w:rFonts w:hint="eastAsia" w:ascii="仿宋" w:hAnsi="仿宋" w:eastAsia="仿宋" w:cs="Times New Roman"/>
          <w:sz w:val="32"/>
          <w:szCs w:val="32"/>
        </w:rPr>
        <w:t>英语学习单项奖奖励标准：</w:t>
      </w:r>
    </w:p>
    <w:p w14:paraId="34FB4DB8">
      <w:pPr>
        <w:ind w:firstLine="643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第一款</w:t>
      </w:r>
      <w:r>
        <w:rPr>
          <w:rFonts w:hint="eastAsia" w:ascii="仿宋" w:hAnsi="仿宋" w:eastAsia="仿宋" w:cs="Times New Roman"/>
          <w:sz w:val="32"/>
          <w:szCs w:val="32"/>
        </w:rPr>
        <w:t xml:space="preserve"> 六级考试奖励标准：特等奖奖励金额2000元/人，一等奖奖励金额1500元/人，二等奖奖励金额1000元/人，三等奖奖励金额500元/人。各等级奖励为一次性奖励，奖励范围为本科生。</w:t>
      </w:r>
    </w:p>
    <w:p w14:paraId="37740D38">
      <w:pPr>
        <w:ind w:firstLine="643" w:firstLineChars="200"/>
        <w:rPr>
          <w:rFonts w:ascii="仿宋" w:hAnsi="仿宋" w:eastAsia="仿宋" w:cs="Times New Roman"/>
          <w:color w:val="FF0000"/>
          <w:sz w:val="32"/>
          <w:szCs w:val="32"/>
          <w:highlight w:val="green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第二款</w:t>
      </w:r>
      <w:r>
        <w:rPr>
          <w:rFonts w:hint="eastAsia" w:ascii="仿宋" w:hAnsi="仿宋" w:eastAsia="仿宋" w:cs="Times New Roman"/>
          <w:sz w:val="32"/>
          <w:szCs w:val="32"/>
        </w:rPr>
        <w:t xml:space="preserve"> 鼓励学生积极参加雅思、托福考试。在校期间参加雅思、托福考试取得成绩，可获得1000元补助一次。获得特等奖奖励金额5000元/人，一等奖奖励金额3000元/人，二等奖奖励金额2000元/人，三等奖奖励金额1000元/人。奖励范围为本科生及研究生。</w:t>
      </w:r>
    </w:p>
    <w:p w14:paraId="07E1DF2E">
      <w:pPr>
        <w:ind w:firstLine="643" w:firstLineChars="200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第三款</w:t>
      </w:r>
      <w:r>
        <w:rPr>
          <w:rFonts w:hint="eastAsia" w:ascii="仿宋" w:hAnsi="仿宋" w:eastAsia="仿宋" w:cs="Times New Roman"/>
          <w:sz w:val="32"/>
          <w:szCs w:val="32"/>
        </w:rPr>
        <w:t xml:space="preserve"> 个人奖励的等级具体划分</w:t>
      </w:r>
      <w:r>
        <w:rPr>
          <w:rFonts w:hint="eastAsia" w:ascii="仿宋" w:hAnsi="仿宋" w:eastAsia="仿宋" w:cs="Times New Roman"/>
          <w:b/>
          <w:sz w:val="32"/>
          <w:szCs w:val="32"/>
        </w:rPr>
        <w:t>：</w:t>
      </w:r>
    </w:p>
    <w:tbl>
      <w:tblPr>
        <w:tblStyle w:val="7"/>
        <w:tblW w:w="8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1782"/>
        <w:gridCol w:w="1782"/>
        <w:gridCol w:w="1782"/>
        <w:gridCol w:w="1783"/>
      </w:tblGrid>
      <w:tr w14:paraId="25F34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841" w:type="dxa"/>
            <w:tcBorders>
              <w:tl2br w:val="single" w:color="auto" w:sz="4" w:space="0"/>
            </w:tcBorders>
            <w:noWrap w:val="0"/>
            <w:vAlign w:val="center"/>
          </w:tcPr>
          <w:p w14:paraId="5463F651">
            <w:pPr>
              <w:spacing w:line="400" w:lineRule="exact"/>
              <w:ind w:firstLine="980" w:firstLineChars="35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奖励</w:t>
            </w:r>
          </w:p>
          <w:p w14:paraId="0A0B28E0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成绩</w:t>
            </w:r>
          </w:p>
        </w:tc>
        <w:tc>
          <w:tcPr>
            <w:tcW w:w="1782" w:type="dxa"/>
            <w:noWrap w:val="0"/>
            <w:vAlign w:val="center"/>
          </w:tcPr>
          <w:p w14:paraId="676F1BE6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特等奖</w:t>
            </w:r>
          </w:p>
        </w:tc>
        <w:tc>
          <w:tcPr>
            <w:tcW w:w="1782" w:type="dxa"/>
            <w:noWrap w:val="0"/>
            <w:vAlign w:val="center"/>
          </w:tcPr>
          <w:p w14:paraId="2EF7AC77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一等奖</w:t>
            </w:r>
          </w:p>
        </w:tc>
        <w:tc>
          <w:tcPr>
            <w:tcW w:w="1782" w:type="dxa"/>
            <w:noWrap w:val="0"/>
            <w:vAlign w:val="center"/>
          </w:tcPr>
          <w:p w14:paraId="1120FD09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二等奖</w:t>
            </w:r>
          </w:p>
        </w:tc>
        <w:tc>
          <w:tcPr>
            <w:tcW w:w="1783" w:type="dxa"/>
            <w:noWrap w:val="0"/>
            <w:vAlign w:val="center"/>
          </w:tcPr>
          <w:p w14:paraId="32C7BD05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三等奖</w:t>
            </w:r>
          </w:p>
        </w:tc>
      </w:tr>
      <w:tr w14:paraId="21170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841" w:type="dxa"/>
            <w:noWrap w:val="0"/>
            <w:vAlign w:val="center"/>
          </w:tcPr>
          <w:p w14:paraId="1AB81FEA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CET-6（分）</w:t>
            </w:r>
          </w:p>
        </w:tc>
        <w:tc>
          <w:tcPr>
            <w:tcW w:w="1782" w:type="dxa"/>
            <w:noWrap w:val="0"/>
            <w:vAlign w:val="center"/>
          </w:tcPr>
          <w:p w14:paraId="1A6FAB55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≥550</w:t>
            </w:r>
          </w:p>
        </w:tc>
        <w:tc>
          <w:tcPr>
            <w:tcW w:w="1782" w:type="dxa"/>
            <w:noWrap w:val="0"/>
            <w:vAlign w:val="center"/>
          </w:tcPr>
          <w:p w14:paraId="5B8F897B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≥530</w:t>
            </w:r>
          </w:p>
        </w:tc>
        <w:tc>
          <w:tcPr>
            <w:tcW w:w="1782" w:type="dxa"/>
            <w:noWrap w:val="0"/>
            <w:vAlign w:val="center"/>
          </w:tcPr>
          <w:p w14:paraId="638D4579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≥520</w:t>
            </w:r>
          </w:p>
        </w:tc>
        <w:tc>
          <w:tcPr>
            <w:tcW w:w="1783" w:type="dxa"/>
            <w:noWrap w:val="0"/>
            <w:vAlign w:val="center"/>
          </w:tcPr>
          <w:p w14:paraId="28B9722D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≥500</w:t>
            </w:r>
          </w:p>
        </w:tc>
      </w:tr>
      <w:tr w14:paraId="13557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841" w:type="dxa"/>
            <w:noWrap w:val="0"/>
            <w:vAlign w:val="center"/>
          </w:tcPr>
          <w:p w14:paraId="7DA4572F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雅思（分）</w:t>
            </w:r>
          </w:p>
        </w:tc>
        <w:tc>
          <w:tcPr>
            <w:tcW w:w="1782" w:type="dxa"/>
            <w:noWrap w:val="0"/>
            <w:vAlign w:val="center"/>
          </w:tcPr>
          <w:p w14:paraId="23AA5EEE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≥7</w:t>
            </w:r>
          </w:p>
        </w:tc>
        <w:tc>
          <w:tcPr>
            <w:tcW w:w="1782" w:type="dxa"/>
            <w:noWrap w:val="0"/>
            <w:vAlign w:val="center"/>
          </w:tcPr>
          <w:p w14:paraId="55E02692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≥6.5</w:t>
            </w:r>
          </w:p>
        </w:tc>
        <w:tc>
          <w:tcPr>
            <w:tcW w:w="1782" w:type="dxa"/>
            <w:noWrap w:val="0"/>
            <w:vAlign w:val="center"/>
          </w:tcPr>
          <w:p w14:paraId="057718DE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≥6.0</w:t>
            </w:r>
          </w:p>
        </w:tc>
        <w:tc>
          <w:tcPr>
            <w:tcW w:w="1783" w:type="dxa"/>
            <w:noWrap w:val="0"/>
            <w:vAlign w:val="center"/>
          </w:tcPr>
          <w:p w14:paraId="59BB8125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≥5.5</w:t>
            </w:r>
          </w:p>
        </w:tc>
      </w:tr>
      <w:tr w14:paraId="1B624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841" w:type="dxa"/>
            <w:noWrap w:val="0"/>
            <w:vAlign w:val="center"/>
          </w:tcPr>
          <w:p w14:paraId="77B76342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托福（分）</w:t>
            </w:r>
          </w:p>
        </w:tc>
        <w:tc>
          <w:tcPr>
            <w:tcW w:w="1782" w:type="dxa"/>
            <w:noWrap w:val="0"/>
            <w:vAlign w:val="center"/>
          </w:tcPr>
          <w:p w14:paraId="61C6F26D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≥110</w:t>
            </w:r>
          </w:p>
        </w:tc>
        <w:tc>
          <w:tcPr>
            <w:tcW w:w="1782" w:type="dxa"/>
            <w:noWrap w:val="0"/>
            <w:vAlign w:val="center"/>
          </w:tcPr>
          <w:p w14:paraId="121CDE76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≥100</w:t>
            </w:r>
          </w:p>
        </w:tc>
        <w:tc>
          <w:tcPr>
            <w:tcW w:w="1782" w:type="dxa"/>
            <w:noWrap w:val="0"/>
            <w:vAlign w:val="center"/>
          </w:tcPr>
          <w:p w14:paraId="60D351DC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≥90</w:t>
            </w:r>
          </w:p>
        </w:tc>
        <w:tc>
          <w:tcPr>
            <w:tcW w:w="1783" w:type="dxa"/>
            <w:noWrap w:val="0"/>
            <w:vAlign w:val="center"/>
          </w:tcPr>
          <w:p w14:paraId="34DA130E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≥80</w:t>
            </w:r>
          </w:p>
        </w:tc>
      </w:tr>
    </w:tbl>
    <w:p w14:paraId="50B90753">
      <w:pPr>
        <w:ind w:firstLine="643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第四款</w:t>
      </w:r>
      <w:r>
        <w:rPr>
          <w:rFonts w:hint="eastAsia" w:ascii="仿宋" w:hAnsi="仿宋" w:eastAsia="仿宋" w:cs="Times New Roman"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在奖励的统计时段内，将按照最高的一次成绩确定奖励等级。</w:t>
      </w:r>
    </w:p>
    <w:p w14:paraId="360A4E25">
      <w:pPr>
        <w:ind w:firstLine="643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 xml:space="preserve">第六条 </w:t>
      </w:r>
      <w:r>
        <w:rPr>
          <w:rFonts w:hint="eastAsia" w:ascii="仿宋" w:hAnsi="仿宋" w:eastAsia="仿宋" w:cs="Times New Roman"/>
          <w:sz w:val="32"/>
          <w:szCs w:val="32"/>
        </w:rPr>
        <w:t>学习进步奖励标准：根据学习成绩相对上一学年提升情况确定，具体标准如下：</w:t>
      </w:r>
    </w:p>
    <w:tbl>
      <w:tblPr>
        <w:tblStyle w:val="7"/>
        <w:tblW w:w="8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9"/>
        <w:gridCol w:w="1646"/>
        <w:gridCol w:w="2464"/>
        <w:gridCol w:w="2694"/>
      </w:tblGrid>
      <w:tr w14:paraId="4D2B2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039" w:type="dxa"/>
            <w:tcBorders>
              <w:tl2br w:val="single" w:color="auto" w:sz="4" w:space="0"/>
            </w:tcBorders>
            <w:noWrap w:val="0"/>
            <w:vAlign w:val="center"/>
          </w:tcPr>
          <w:p w14:paraId="603D15EB">
            <w:pPr>
              <w:spacing w:line="400" w:lineRule="exact"/>
              <w:ind w:firstLine="638" w:firstLineChars="228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本学年</w:t>
            </w:r>
          </w:p>
          <w:p w14:paraId="6E42F055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上学年</w:t>
            </w:r>
          </w:p>
        </w:tc>
        <w:tc>
          <w:tcPr>
            <w:tcW w:w="1646" w:type="dxa"/>
            <w:noWrap w:val="0"/>
            <w:vAlign w:val="center"/>
          </w:tcPr>
          <w:p w14:paraId="7664CB85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GPA≥2.2</w:t>
            </w:r>
          </w:p>
        </w:tc>
        <w:tc>
          <w:tcPr>
            <w:tcW w:w="2464" w:type="dxa"/>
            <w:noWrap w:val="0"/>
            <w:vAlign w:val="center"/>
          </w:tcPr>
          <w:p w14:paraId="4BE2E0A6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GPA≥2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.0</w:t>
            </w:r>
          </w:p>
        </w:tc>
        <w:tc>
          <w:tcPr>
            <w:tcW w:w="2694" w:type="dxa"/>
            <w:noWrap w:val="0"/>
            <w:vAlign w:val="center"/>
          </w:tcPr>
          <w:p w14:paraId="0BAD1099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提升0.2</w:t>
            </w:r>
          </w:p>
        </w:tc>
      </w:tr>
      <w:tr w14:paraId="2324A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39" w:type="dxa"/>
            <w:noWrap w:val="0"/>
            <w:vAlign w:val="center"/>
          </w:tcPr>
          <w:p w14:paraId="21F2200D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GPA＜2.0</w:t>
            </w:r>
          </w:p>
        </w:tc>
        <w:tc>
          <w:tcPr>
            <w:tcW w:w="1646" w:type="dxa"/>
            <w:noWrap w:val="0"/>
            <w:vAlign w:val="center"/>
          </w:tcPr>
          <w:p w14:paraId="7807DB2C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1000元/人</w:t>
            </w:r>
          </w:p>
        </w:tc>
        <w:tc>
          <w:tcPr>
            <w:tcW w:w="2464" w:type="dxa"/>
            <w:noWrap w:val="0"/>
            <w:vAlign w:val="center"/>
          </w:tcPr>
          <w:p w14:paraId="49240503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500元/人</w:t>
            </w:r>
          </w:p>
        </w:tc>
        <w:tc>
          <w:tcPr>
            <w:tcW w:w="2694" w:type="dxa"/>
            <w:noWrap w:val="0"/>
            <w:vAlign w:val="center"/>
          </w:tcPr>
          <w:p w14:paraId="06A2218F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76084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39" w:type="dxa"/>
            <w:noWrap w:val="0"/>
            <w:vAlign w:val="center"/>
          </w:tcPr>
          <w:p w14:paraId="4E448F65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GPA＜2.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2</w:t>
            </w:r>
          </w:p>
        </w:tc>
        <w:tc>
          <w:tcPr>
            <w:tcW w:w="1646" w:type="dxa"/>
            <w:noWrap w:val="0"/>
            <w:vAlign w:val="center"/>
          </w:tcPr>
          <w:p w14:paraId="528BBBE2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500元/人</w:t>
            </w:r>
          </w:p>
        </w:tc>
        <w:tc>
          <w:tcPr>
            <w:tcW w:w="2464" w:type="dxa"/>
            <w:noWrap w:val="0"/>
            <w:vAlign w:val="center"/>
          </w:tcPr>
          <w:p w14:paraId="10C66F6C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694" w:type="dxa"/>
            <w:noWrap w:val="0"/>
            <w:vAlign w:val="center"/>
          </w:tcPr>
          <w:p w14:paraId="072E869F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7EAA9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039" w:type="dxa"/>
            <w:noWrap w:val="0"/>
            <w:vAlign w:val="center"/>
          </w:tcPr>
          <w:p w14:paraId="36455D4A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GPA≥2.2</w:t>
            </w:r>
          </w:p>
        </w:tc>
        <w:tc>
          <w:tcPr>
            <w:tcW w:w="1646" w:type="dxa"/>
            <w:noWrap w:val="0"/>
            <w:vAlign w:val="center"/>
          </w:tcPr>
          <w:p w14:paraId="3D510797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464" w:type="dxa"/>
            <w:noWrap w:val="0"/>
            <w:vAlign w:val="center"/>
          </w:tcPr>
          <w:p w14:paraId="7BA8D8B8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694" w:type="dxa"/>
            <w:noWrap w:val="0"/>
            <w:vAlign w:val="center"/>
          </w:tcPr>
          <w:p w14:paraId="7AE0AD77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500元/人</w:t>
            </w:r>
          </w:p>
        </w:tc>
      </w:tr>
    </w:tbl>
    <w:p w14:paraId="54922730">
      <w:pPr>
        <w:ind w:firstLine="643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第七条</w:t>
      </w:r>
      <w:r>
        <w:rPr>
          <w:rFonts w:hint="eastAsia" w:ascii="仿宋" w:hAnsi="仿宋" w:eastAsia="仿宋" w:cs="Times New Roman"/>
          <w:sz w:val="32"/>
          <w:szCs w:val="32"/>
        </w:rPr>
        <w:t xml:space="preserve"> 学业勤奋奖励评定标准，依据《西北农林科技大学草业与草原学院 2026—2027 学年</w:t>
      </w: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</w:rPr>
        <w:t>“绿茵计划”主题活动实施方案（试行）》相关规定执行。</w:t>
      </w:r>
    </w:p>
    <w:p w14:paraId="5EC7AB3F">
      <w:pPr>
        <w:widowControl/>
        <w:shd w:val="clear" w:color="auto" w:fill="FFFFFF"/>
        <w:spacing w:line="360" w:lineRule="auto"/>
        <w:jc w:val="center"/>
        <w:rPr>
          <w:rFonts w:hint="eastAsia" w:ascii="仿宋" w:hAnsi="仿宋" w:eastAsia="仿宋" w:cs="Times New Roman"/>
          <w:b/>
          <w:spacing w:val="14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spacing w:val="14"/>
          <w:kern w:val="0"/>
          <w:sz w:val="32"/>
          <w:szCs w:val="32"/>
        </w:rPr>
        <w:t>第四章 附则</w:t>
      </w:r>
    </w:p>
    <w:p w14:paraId="6D6DAC09">
      <w:pPr>
        <w:ind w:firstLine="643" w:firstLineChars="200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 xml:space="preserve">第八条 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学习、</w:t>
      </w:r>
      <w:r>
        <w:rPr>
          <w:rFonts w:hint="eastAsia" w:ascii="仿宋" w:hAnsi="仿宋" w:eastAsia="仿宋" w:cs="Times New Roman"/>
          <w:sz w:val="32"/>
          <w:szCs w:val="32"/>
        </w:rPr>
        <w:t>英语六级成绩由学院从教务系统导出、统计后进行评选。雅思、托福考试奖励需学生个人申请、班级初审、学院审定。学习勤奋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行为根据学院统计评选。</w:t>
      </w:r>
    </w:p>
    <w:p w14:paraId="5BB87194">
      <w:pPr>
        <w:ind w:firstLine="643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第九条</w:t>
      </w:r>
      <w:r>
        <w:rPr>
          <w:rFonts w:hint="eastAsia" w:ascii="仿宋" w:hAnsi="仿宋" w:eastAsia="仿宋" w:cs="Times New Roman"/>
          <w:sz w:val="32"/>
          <w:szCs w:val="32"/>
        </w:rPr>
        <w:t xml:space="preserve"> 本办法自印发之日起执行，由草业与草原学院负责解释。</w:t>
      </w:r>
    </w:p>
    <w:p w14:paraId="5AFD5E6C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3E131FCF"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737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6B2D0CB-7B8A-452C-8468-870D7F8AC48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C844A02-89E5-4D36-A738-29173FDAAFF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00967"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 w14:paraId="2CD6A444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983C8"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 w14:paraId="689814A1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N2M4NGY0MGM3N2JjZTFlMDgzOWRlOTYwMzc2NGIifQ=="/>
  </w:docVars>
  <w:rsids>
    <w:rsidRoot w:val="00000000"/>
    <w:rsid w:val="3B2B26AB"/>
    <w:rsid w:val="42325239"/>
    <w:rsid w:val="5A617977"/>
    <w:rsid w:val="5ADD7044"/>
    <w:rsid w:val="6316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9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775</Words>
  <Characters>864</Characters>
  <Lines>0</Lines>
  <Paragraphs>0</Paragraphs>
  <TotalTime>2</TotalTime>
  <ScaleCrop>false</ScaleCrop>
  <LinksUpToDate>false</LinksUpToDate>
  <CharactersWithSpaces>880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2024-05-22T02:15:00Z</dcterms:created>
  <dc:creator>Administrator</dc:creator>
  <cp:lastModifiedBy>贺晨瑞</cp:lastModifiedBy>
  <dcterms:modified xsi:type="dcterms:W3CDTF">2026-06-05T03:23:35Z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EE5583B612944D96873301C2FAE91DBD_13</vt:lpwstr>
  </property>
  <property fmtid="{D5CDD505-2E9C-101B-9397-08002B2CF9AE}" pid="4" name="KSOTemplateDocerSaveRecord">
    <vt:lpwstr>eyJoZGlkIjoiMzMzZjg4N2RlMGY0NzBmMWM0YWUwMjljYWZjMDQ3YWQiLCJ1c2VySWQiOiIxMDQ0NjYyMjMzIn0=</vt:lpwstr>
  </property>
</Properties>
</file>